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18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الأردنية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الهاشمية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b="0" l="0" r="0" t="0"/>
            <wp:wrapSquare wrapText="bothSides" distB="0" distT="0" distL="0" distR="0"/>
            <wp:docPr descr="logo new.jpg" id="11" name="image2.png"/>
            <a:graphic>
              <a:graphicData uri="http://schemas.openxmlformats.org/drawingml/2006/picture">
                <pic:pic>
                  <pic:nvPicPr>
                    <pic:cNvPr descr="logo new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18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760" w:right="-18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720" w:right="-18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٢٠٢٢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٢٠٢٣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bidi w:val="1"/>
        <w:spacing w:after="200" w:before="0" w:line="276" w:lineRule="auto"/>
        <w:ind w:left="644" w:right="567" w:firstLine="0"/>
        <w:jc w:val="left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توجيهات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لتعبئة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1"/>
        <w:bidiVisual w:val="1"/>
        <w:tblW w:w="14458.0" w:type="dxa"/>
        <w:jc w:val="left"/>
        <w:tblInd w:w="495.0" w:type="dxa"/>
        <w:tblLayout w:type="fixed"/>
        <w:tblLook w:val="0400"/>
      </w:tblPr>
      <w:tblGrid>
        <w:gridCol w:w="7654"/>
        <w:gridCol w:w="6804"/>
        <w:tblGridChange w:id="0">
          <w:tblGrid>
            <w:gridCol w:w="7654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النموذج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مستمر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يضمن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اطلاع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محتوياته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،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ويعبأ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مرتين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يستند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لميثاق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مهنة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ومدونة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ومعايير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والتخصصية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التفصيلي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مؤشر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يؤخذ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الاعتبار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ذا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النموذج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مبدأ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التشاركية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المعنيين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،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يعزز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الثقة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والالتزام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بالنتائج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تحقيقها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وتعزيز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القوة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ومعالجة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الضعف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والقصورفي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ويتم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الاحتفاظ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بنسخة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النماذج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جانبي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يحتفظ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بملف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بالإنجازات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والأدلة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ويحدثه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باستمرار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ويقدمه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للمعنيين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ترصد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اذا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ممتاز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وترصد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السلبية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اذا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ضعيف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يجوز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اجراء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تعديل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محتويات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الاداء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السنوي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اعتماده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النموذج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المرجعية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الرئيسة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اذا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اتخذت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بحق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عقوبة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تقديره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بحسب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المنصوص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(74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(9)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لسنة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2020.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24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مستويات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درجات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الأداءعلى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النحو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الآتي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إنجازالاعمال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يفوق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استثنائي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جيدجدا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ً: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إنجاز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يفوق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إنجاز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مرضي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ويقابل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مقبول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إنجاز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بالحد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الأدنى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43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ضعيف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أقل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والمقبول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ويحتاج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تحسين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6dde8" w:val="clear"/>
        <w:tabs>
          <w:tab w:val="right" w:pos="14400"/>
        </w:tabs>
        <w:bidi w:val="1"/>
        <w:spacing w:after="120" w:before="0" w:line="240" w:lineRule="auto"/>
        <w:ind w:left="630" w:right="56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الرباعي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كفاح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اعمير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السويطي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  ٩692030047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الوزاري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  ١65656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 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بكالوريوس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                   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مديرية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لواء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القويسمة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مرج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الحمام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الاوسط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الاساسية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الاولى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للبنات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وتوقيع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شؤون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  --------------------------------------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---------------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63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6dde8" w:val="clear"/>
        <w:tabs>
          <w:tab w:val="right" w:pos="14400"/>
        </w:tabs>
        <w:bidi w:val="1"/>
        <w:spacing w:after="120" w:before="0" w:line="240" w:lineRule="auto"/>
        <w:ind w:left="630" w:right="56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الاهداف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يساهم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ويخصص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(20%)  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اختيارها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للمعلم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وخطة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بالتوافق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12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"/>
        <w:gridCol w:w="6105"/>
        <w:gridCol w:w="5518"/>
        <w:gridCol w:w="992"/>
        <w:gridCol w:w="929"/>
        <w:tblGridChange w:id="0">
          <w:tblGrid>
            <w:gridCol w:w="581"/>
            <w:gridCol w:w="6105"/>
            <w:gridCol w:w="5518"/>
            <w:gridCol w:w="992"/>
            <w:gridCol w:w="929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</w:p>
        </w:tc>
        <w:tc>
          <w:tcPr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المتحققة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القصوى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المستحقة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الارتفاع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التطويرية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1-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تحسن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اداء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وتحصيل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الطلبه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العربيية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بنسبة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ازدياد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متنوعة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للطلبة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للمشاركة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القيادية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٢_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البرلمان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واتخاذ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القرارات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دورهم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اللجان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ولجنة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الهلال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الأحمر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ازدياد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للقيادة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التشاركية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للعاملين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اللجان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تحسن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بالدور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القيادي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المكلف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والتعلمية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142" w:firstLine="720"/>
        <w:jc w:val="left"/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 ..........................................</w:t>
        <w:tab/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............................</w:t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6dde8" w:val="clear"/>
        <w:bidi w:val="1"/>
        <w:spacing w:after="0" w:before="0" w:line="360" w:lineRule="auto"/>
        <w:ind w:left="644" w:right="56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bfbfbf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بالمعرفة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والسلوك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تعبأ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ويخصص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(30%) 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39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"/>
        <w:gridCol w:w="567"/>
        <w:gridCol w:w="4749"/>
        <w:gridCol w:w="3568"/>
        <w:gridCol w:w="3546"/>
        <w:gridCol w:w="851"/>
        <w:tblGridChange w:id="0">
          <w:tblGrid>
            <w:gridCol w:w="693"/>
            <w:gridCol w:w="567"/>
            <w:gridCol w:w="4749"/>
            <w:gridCol w:w="3568"/>
            <w:gridCol w:w="3546"/>
            <w:gridCol w:w="85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المعايير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المؤشرات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والسلبية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والسلبية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1-5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الأردن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والإحاطة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بالتشريعات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يحيط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بالتشريعات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يحيط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بالتشريعات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بمسؤولياته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وواجباته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وتأديتها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بإتقان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وامانة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وكفاءة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وفعالية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الطابور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المناوبة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الدوام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إشغال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القيادة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..)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وبأدواره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ويستثمر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الأزمات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ويستثمر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الأزمات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الفلسفة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ورسالة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منبثقة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ورسالتها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وأهدافها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ويوظفها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مهتم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مهنم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والاتجاهات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ونشرها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صعيد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بنشرها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بنشرها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بالمظهر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والهندام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مهتم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مهنم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..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بروح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بالنشاطات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بروح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بروح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بنزاهة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واحترام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وعدل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ومساواة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وعدم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التمييز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بينهم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نزيه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ومتقبل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متحيز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نزيه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ومتقبل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متحيز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المسؤول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مشكلاتهم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الفعال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والزملاء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الفعال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الفعال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ممتلكات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وتوجيه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طلبته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محافظ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...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محافظ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وملتزم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92cddc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92cddc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92cddc" w:val="clear"/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cddc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* 0.6)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cddc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6dde8" w:val="clear"/>
        <w:bidi w:val="1"/>
        <w:spacing w:after="0" w:before="0" w:line="240" w:lineRule="auto"/>
        <w:ind w:left="644" w:right="70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بالتميز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والإنجازات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تعبأ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ويخصص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(10%)</w:t>
      </w:r>
    </w:p>
    <w:tbl>
      <w:tblPr>
        <w:tblStyle w:val="Table4"/>
        <w:bidiVisual w:val="1"/>
        <w:tblW w:w="138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920"/>
        <w:gridCol w:w="709"/>
        <w:gridCol w:w="3909"/>
        <w:gridCol w:w="3402"/>
        <w:gridCol w:w="3402"/>
        <w:gridCol w:w="791"/>
        <w:tblGridChange w:id="0">
          <w:tblGrid>
            <w:gridCol w:w="715"/>
            <w:gridCol w:w="920"/>
            <w:gridCol w:w="709"/>
            <w:gridCol w:w="3909"/>
            <w:gridCol w:w="3402"/>
            <w:gridCol w:w="3402"/>
            <w:gridCol w:w="791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المؤشرات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والسلبية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والسلبية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1-5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الفلسفة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واخلاقيات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المهنة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والاتجاهات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والسلوك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والأندية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واللجان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والنهوض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وتحدي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والكشافة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والدفاع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والنهوض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وتحدي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والكشافة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والدفاع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                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المحلي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يبني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يبني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حلول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واقتراحات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تتعلق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والامور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الادارية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اقتراحات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اقتراحات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التطويرية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والاجرائية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للمدرسة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منسقة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ومنسقة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منسقة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ومنسقة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والإبداع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إشراك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طلبته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المسابقات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المحلية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والعالمية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طلبته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إشراك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بمسابقة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والبرلمان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اللواء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طلبته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جوائز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ودولية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منهجية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المبادرات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التطويرية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تبني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ثقافة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يبادر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يبادر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مجتمعات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والورش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والتفاعل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الإسناد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بجائزة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رانيا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المتميز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٢٠١٩/٢٠٢٠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٢٠١٨/٢٠١٩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شكر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يشارك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بجائزة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رانيا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المتميز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٢٠١٩/٢٠٢٠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الإجرائية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والمنشورات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تساهم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ويتابع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جيدة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جدا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ويتابع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جيدة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جدا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استدامة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والتكنولوجية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ومواكبتها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يتابع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يتابع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بصمة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Icdl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92cddc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10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* 0.2 )</w:t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بالأداء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تعبأ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ومدير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ويخصص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(25%)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(15)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علامة</w:t>
      </w:r>
    </w:p>
    <w:tbl>
      <w:tblPr>
        <w:tblStyle w:val="Table5"/>
        <w:bidiVisual w:val="1"/>
        <w:tblW w:w="14108.0" w:type="dxa"/>
        <w:jc w:val="left"/>
        <w:tblInd w:w="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5"/>
        <w:gridCol w:w="1301"/>
        <w:gridCol w:w="703"/>
        <w:gridCol w:w="3668"/>
        <w:gridCol w:w="3349"/>
        <w:gridCol w:w="3076"/>
        <w:gridCol w:w="1256"/>
        <w:tblGridChange w:id="0">
          <w:tblGrid>
            <w:gridCol w:w="755"/>
            <w:gridCol w:w="1301"/>
            <w:gridCol w:w="703"/>
            <w:gridCol w:w="3668"/>
            <w:gridCol w:w="3349"/>
            <w:gridCol w:w="3076"/>
            <w:gridCol w:w="125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الرئيسي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الفرعي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مؤشر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*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1-5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والتعليم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التخطيط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للتعل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الموقف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الصفي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ينفذها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ينفذها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8......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والتعليم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ومراعاة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التكامل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الرأسي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والأفقي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يراعيها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ممتارة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يراعيها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مراعاة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التسلسل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المنطقي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تدريس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المحتوى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يراعيها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ممتارة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يراعيها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النتاجات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زمنية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لإنجاز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زمنية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لإنجاز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الفعال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السليمة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لغة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الجسد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البصري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يستخدمها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يستخدمها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............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النشط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بفاعلية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وتنويعها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توظف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توظف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........... 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بالحياة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يربط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بالحياة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يربط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بالحياة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المتمايز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ومراعاة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الفروق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يراعيها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يراعيها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بأنواعه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وأدواته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بأنواعها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بأنواعها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لتحسين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يوثق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االنتائج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يوثق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االنتائج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الأوعية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المعرفية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المتنوعة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بفاعلية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،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يوظف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يوظف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النفسي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آمنة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وراعية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وداعمة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لتعزيز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يوفرها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................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يوفرها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................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والإبداع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واستثمار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ابداعات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وابتكارات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يدعم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الفرص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ويستثمرها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يدعم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الفرص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ويستثمرها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للحياة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الحياتية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الحياتية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الموقف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يستخدمها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................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يستخدمها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مسؤولية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كفايات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يوفرها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يوفرها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...........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91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6"/>
        <w:bidiVisual w:val="1"/>
        <w:tblW w:w="141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1"/>
        <w:gridCol w:w="1216"/>
        <w:gridCol w:w="663"/>
        <w:gridCol w:w="3804"/>
        <w:gridCol w:w="3355"/>
        <w:gridCol w:w="3073"/>
        <w:gridCol w:w="1256"/>
        <w:tblGridChange w:id="0">
          <w:tblGrid>
            <w:gridCol w:w="741"/>
            <w:gridCol w:w="1216"/>
            <w:gridCol w:w="663"/>
            <w:gridCol w:w="3804"/>
            <w:gridCol w:w="3355"/>
            <w:gridCol w:w="3073"/>
            <w:gridCol w:w="1256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bidi w:val="1"/>
              <w:spacing w:after="0"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1"/>
              </w:rPr>
              <w:t xml:space="preserve">تنمية</w:t>
            </w:r>
            <w:r w:rsidDel="00000000" w:rsidR="00000000" w:rsidRPr="00000000">
              <w:rPr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4"/>
                <w:szCs w:val="14"/>
                <w:rtl w:val="1"/>
              </w:rPr>
              <w:t xml:space="preserve">المفردات</w:t>
            </w:r>
            <w:r w:rsidDel="00000000" w:rsidR="00000000" w:rsidRPr="00000000">
              <w:rPr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4"/>
                <w:szCs w:val="14"/>
                <w:rtl w:val="1"/>
              </w:rPr>
              <w:t xml:space="preserve">اللغوية</w:t>
            </w:r>
          </w:p>
        </w:tc>
        <w:tc>
          <w:tcPr/>
          <w:p w:rsidR="00000000" w:rsidDel="00000000" w:rsidP="00000000" w:rsidRDefault="00000000" w:rsidRPr="00000000" w14:paraId="00000173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استثمار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A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الأعمال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الكتابية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للطلبة</w:t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اللغه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بمكوناتها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8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تمكين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السليم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تطبيق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تدريس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اللغة</w:t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أوراق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متمايزة</w:t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التكاملية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تدريس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bidi w:val="1"/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الفعاليات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16"/>
                <w:szCs w:val="1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تجمع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علامات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وتقسم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5)</w:t>
            </w:r>
          </w:p>
        </w:tc>
        <w:tc>
          <w:tcPr>
            <w:gridSpan w:val="2"/>
            <w:shd w:fill="92cddc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91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التخصصية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(10)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علامات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تعبئتها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التخصصي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زيارة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:.............................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الزيارة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:............................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والشعبة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:...........................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:......................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:............................... 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:.................................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الزيارة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:...........................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والشعبة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:.............................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:.......................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:............................... 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6dde8" w:val="clear"/>
        <w:bidi w:val="1"/>
        <w:spacing w:after="0" w:before="0" w:line="240" w:lineRule="auto"/>
        <w:ind w:left="502" w:right="56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بالأداء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اللاصفي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تعبأ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ومدير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ويخصص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(15%)</w:t>
      </w:r>
    </w:p>
    <w:tbl>
      <w:tblPr>
        <w:tblStyle w:val="Table7"/>
        <w:bidiVisual w:val="1"/>
        <w:tblW w:w="138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"/>
        <w:gridCol w:w="992"/>
        <w:gridCol w:w="567"/>
        <w:gridCol w:w="4536"/>
        <w:gridCol w:w="2970"/>
        <w:gridCol w:w="2977"/>
        <w:gridCol w:w="930"/>
        <w:tblGridChange w:id="0">
          <w:tblGrid>
            <w:gridCol w:w="872"/>
            <w:gridCol w:w="992"/>
            <w:gridCol w:w="567"/>
            <w:gridCol w:w="4536"/>
            <w:gridCol w:w="2970"/>
            <w:gridCol w:w="2977"/>
            <w:gridCol w:w="93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المعايير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المؤشرات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والسلبية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الوقائع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والسلبية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1-5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الأكاديمية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والتربوية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الأكاديمية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الاكاديمية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بالتخصص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وحداثتها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جديد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جديد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الإطار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للمنهاج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بالإطار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للمنهاج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وللنتاجات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والخاصة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وتوظيفه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الصفية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والتعليم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التخطيط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للتعلم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فصلية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سنوية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مبنية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المحتوى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اعدادها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اعدادها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واوراق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والملاحق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تنوع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النتاجات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وشموليتها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والتقويم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والتأمل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، ...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باستمرار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باستمرار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والإثرائية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للطلبة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الخطط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ويوظفها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الخطط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ويوظفها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والتعليم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اللاصفية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وتوظيف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وتوثيق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ويوثق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ويوثق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استنادا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المواصفات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ومواصفات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الجيد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وينفذها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وينفذها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ويقدم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يحللها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ويسجلها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يحللها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ويسجلها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والجانبي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وادوات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الواقعي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ينظمها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ينظمها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اولياء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الامور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فيما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يتعلق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بنتائج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الطلبة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النفس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اجتماعي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متابعة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السجلات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وتنظيم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ملفات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اعمال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مربي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وبنظم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وبنظم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pageBreakBefore w:val="0"/>
              <w:bidi w:val="1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متابعة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غياب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وتعبئة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السجل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الخاص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rtl w:val="1"/>
              </w:rPr>
              <w:t xml:space="preserve">بالحضور</w:t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والغياب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يتابع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والغياب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بدرجةممتازه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Microsoft Uighur" w:cs="Microsoft Uighur" w:eastAsia="Microsoft Uighur" w:hAnsi="Microsoft Uighu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المستدامة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منهجية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المستندة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للمعايير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وتحديثها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باستمرار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يبني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وينفذها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يبني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وينفذها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الاحتفاظ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بملف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انجاز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منظم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وشامل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ومحدث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مستمر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ينجز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ويحتفظ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ينجز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الملف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ويحتفظ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للحياة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منهجية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واكسابها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لتطوير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والتعلمية</w:t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يطور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يطور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بدرجة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......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ممتازة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92cddc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cddc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العلامة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cddc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-142" w:firstLine="0"/>
        <w:jc w:val="left"/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توصيات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-142" w:firstLine="0"/>
        <w:jc w:val="left"/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توصيات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360" w:right="-14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1"/>
        </w:rPr>
        <w:t xml:space="preserve">مجموع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1"/>
        </w:rPr>
        <w:t xml:space="preserve"> (100)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fbfbf"/>
          <w:sz w:val="26"/>
          <w:szCs w:val="26"/>
          <w:highlight w:val="lightGray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0</wp:posOffset>
                </wp:positionV>
                <wp:extent cx="1069975" cy="21970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17363" y="3676496"/>
                          <a:ext cx="1057275" cy="20700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0</wp:posOffset>
                </wp:positionV>
                <wp:extent cx="1069975" cy="219709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2197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3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7853044" cy="32829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19475" y="3609500"/>
                          <a:ext cx="7853044" cy="328295"/>
                          <a:chOff x="1419475" y="3609500"/>
                          <a:chExt cx="7859400" cy="341000"/>
                        </a:xfrm>
                      </wpg:grpSpPr>
                      <wpg:grpSp>
                        <wpg:cNvGrpSpPr/>
                        <wpg:grpSpPr>
                          <a:xfrm>
                            <a:off x="1419478" y="3615853"/>
                            <a:ext cx="7853043" cy="328295"/>
                            <a:chOff x="0" y="0"/>
                            <a:chExt cx="7853043" cy="32829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853025" cy="32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092004" y="26670"/>
                              <a:ext cx="761039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FBFB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100 - 85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61039" y="26670"/>
                              <a:ext cx="827216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FBFB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دون ال 50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350766" y="26670"/>
                              <a:ext cx="891923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FBFB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دون 65  -50 5050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955198" y="17145"/>
                              <a:ext cx="941924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FBFB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دون 75–65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603014" y="26670"/>
                              <a:ext cx="819863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FBFB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دون 85 -75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475820" y="47625"/>
                              <a:ext cx="606625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ممتاز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38100"/>
                              <a:ext cx="674273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ضعيف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47815" y="28575"/>
                              <a:ext cx="647802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متوسط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286807" y="9525"/>
                              <a:ext cx="553683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جيد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897122" y="0"/>
                              <a:ext cx="694862" cy="28067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جيد جداً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7853044" cy="32829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3044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: </w:t>
        <w:tab/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142" w:firstLine="0"/>
        <w:jc w:val="left"/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142" w:firstLine="0"/>
        <w:jc w:val="left"/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..................................................</w:t>
        <w:tab/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............................</w:t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...............................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142" w:firstLine="0"/>
        <w:jc w:val="left"/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المشرف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...............................................</w:t>
        <w:tab/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</w:t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................................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142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...............................................</w:t>
        <w:tab/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............................</w:t>
        <w:tab/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Microsoft Uighur" w:cs="Microsoft Uighur" w:eastAsia="Microsoft Uighur" w:hAnsi="Microsoft Uighu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2240" w:w="15840" w:orient="landscape"/>
      <w:pgMar w:bottom="352" w:top="352" w:left="227" w:right="2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implified Arabic"/>
  <w:font w:name="Cambr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Microsoft Uighu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9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13F94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0"/>
    <w:qFormat w:val="1"/>
    <w:rsid w:val="00813F94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tFNr9G+fhsbknZlejnpWoRAfA==">AMUW2mX0aTPJ0d2YHQItO59MSWuQUpGD9uRnhtw8KzXEkT6iL6aR6hf+qk6fFL6ZzMNtSqdF+lAQGOPid5Wz2VOZ+q2hQbVs3pRT45e3FWmLGeHEdrNuZSs=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2020-06-03T03:17:00Z</dcterms:created>
  <dc:creator>p</dc:creator>
</cp:coreProperties>
</file>